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552273" w14:paraId="4155A268" w14:textId="77777777" w:rsidTr="00254009">
        <w:tc>
          <w:tcPr>
            <w:tcW w:w="1935" w:type="dxa"/>
            <w:vMerge w:val="restart"/>
            <w:tcBorders>
              <w:top w:val="single" w:sz="4" w:space="0" w:color="000000"/>
              <w:left w:val="single" w:sz="4" w:space="0" w:color="000000"/>
              <w:bottom w:val="single" w:sz="4" w:space="0" w:color="000000"/>
              <w:right w:val="single" w:sz="4" w:space="0" w:color="000000"/>
            </w:tcBorders>
            <w:vAlign w:val="center"/>
            <w:hideMark/>
          </w:tcPr>
          <w:p w14:paraId="43F3A15C" w14:textId="77777777" w:rsidR="00552273" w:rsidRDefault="00552273">
            <w:pPr>
              <w:spacing w:after="0" w:line="276" w:lineRule="auto"/>
              <w:jc w:val="center"/>
              <w:rPr>
                <w:rFonts w:ascii="Arial" w:hAnsi="Arial" w:cs="Arial"/>
                <w:b/>
                <w:bCs/>
                <w:color w:val="4472C4" w:themeColor="accent1"/>
                <w:sz w:val="22"/>
                <w:szCs w:val="22"/>
                <w:lang w:val="es-MX"/>
              </w:rPr>
            </w:pPr>
            <w:r>
              <w:rPr>
                <w:rFonts w:ascii="Arial" w:hAnsi="Arial" w:cs="Arial"/>
                <w:b/>
                <w:bCs/>
                <w:noProof/>
                <w:color w:val="4472C4" w:themeColor="accent1"/>
                <w:sz w:val="22"/>
                <w:szCs w:val="22"/>
                <w:lang w:val="es-MX"/>
              </w:rPr>
              <w:t>Logo de la compañía</w:t>
            </w:r>
          </w:p>
        </w:tc>
        <w:tc>
          <w:tcPr>
            <w:tcW w:w="7459" w:type="dxa"/>
            <w:gridSpan w:val="3"/>
            <w:tcBorders>
              <w:top w:val="single" w:sz="4" w:space="0" w:color="000000"/>
              <w:left w:val="single" w:sz="4" w:space="0" w:color="000000"/>
              <w:bottom w:val="single" w:sz="4" w:space="0" w:color="000000"/>
              <w:right w:val="single" w:sz="4" w:space="0" w:color="000000"/>
            </w:tcBorders>
            <w:hideMark/>
          </w:tcPr>
          <w:p w14:paraId="74822F18" w14:textId="77777777" w:rsidR="00552273" w:rsidRDefault="00552273">
            <w:pPr>
              <w:spacing w:before="120" w:after="120"/>
              <w:jc w:val="center"/>
              <w:rPr>
                <w:rFonts w:ascii="Arial" w:hAnsi="Arial" w:cs="Arial"/>
                <w:b/>
                <w:color w:val="7030A0"/>
                <w:sz w:val="22"/>
                <w:szCs w:val="22"/>
                <w:lang w:val="es-MX"/>
              </w:rPr>
            </w:pPr>
            <w:r>
              <w:rPr>
                <w:rFonts w:ascii="Arial" w:hAnsi="Arial" w:cs="Arial"/>
                <w:b/>
                <w:color w:val="4472C4" w:themeColor="accent1"/>
                <w:sz w:val="22"/>
                <w:szCs w:val="22"/>
                <w:lang w:val="es-MX"/>
              </w:rPr>
              <w:t>Nombre de la compañía</w:t>
            </w:r>
          </w:p>
        </w:tc>
      </w:tr>
      <w:tr w:rsidR="00552273" w:rsidRPr="00254009" w14:paraId="2BD22D76" w14:textId="77777777" w:rsidTr="00254009">
        <w:trPr>
          <w:trHeight w:val="24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443ED6" w14:textId="77777777" w:rsidR="00552273" w:rsidRDefault="00552273">
            <w:pPr>
              <w:spacing w:after="0"/>
              <w:rPr>
                <w:rFonts w:ascii="Arial" w:hAnsi="Arial" w:cs="Arial"/>
                <w:b/>
                <w:bCs/>
                <w:color w:val="4472C4" w:themeColor="accent1"/>
                <w:sz w:val="22"/>
                <w:szCs w:val="22"/>
                <w:lang w:val="es-MX"/>
              </w:rPr>
            </w:pPr>
          </w:p>
        </w:tc>
        <w:tc>
          <w:tcPr>
            <w:tcW w:w="7459" w:type="dxa"/>
            <w:gridSpan w:val="3"/>
            <w:tcBorders>
              <w:top w:val="single" w:sz="4" w:space="0" w:color="000000"/>
              <w:left w:val="single" w:sz="4" w:space="0" w:color="000000"/>
              <w:bottom w:val="single" w:sz="4" w:space="0" w:color="000000"/>
              <w:right w:val="single" w:sz="4" w:space="0" w:color="000000"/>
            </w:tcBorders>
            <w:vAlign w:val="center"/>
            <w:hideMark/>
          </w:tcPr>
          <w:p w14:paraId="0E2B3D0F" w14:textId="18C8A56D" w:rsidR="00552273" w:rsidRDefault="00254009">
            <w:pPr>
              <w:spacing w:before="120" w:after="120"/>
              <w:jc w:val="center"/>
              <w:rPr>
                <w:rFonts w:ascii="Arial" w:hAnsi="Arial" w:cs="Arial"/>
                <w:b/>
                <w:color w:val="7030A0"/>
                <w:sz w:val="22"/>
                <w:szCs w:val="22"/>
                <w:lang w:val="es-MX"/>
              </w:rPr>
            </w:pPr>
            <w:r>
              <w:rPr>
                <w:rFonts w:ascii="Arial" w:hAnsi="Arial" w:cs="Arial"/>
                <w:b/>
                <w:lang w:val="es-MX"/>
              </w:rPr>
              <w:t>CONTROL Y MANEJO DEL AGUA</w:t>
            </w:r>
          </w:p>
        </w:tc>
      </w:tr>
      <w:tr w:rsidR="00552273" w14:paraId="10F1039A" w14:textId="77777777" w:rsidTr="00254009">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26C682" w14:textId="77777777" w:rsidR="00552273" w:rsidRDefault="00552273">
            <w:pPr>
              <w:spacing w:after="0"/>
              <w:rPr>
                <w:rFonts w:ascii="Arial" w:hAnsi="Arial" w:cs="Arial"/>
                <w:b/>
                <w:bCs/>
                <w:color w:val="4472C4" w:themeColor="accent1"/>
                <w:sz w:val="22"/>
                <w:szCs w:val="22"/>
                <w:lang w:val="es-MX"/>
              </w:rPr>
            </w:pPr>
          </w:p>
        </w:tc>
        <w:tc>
          <w:tcPr>
            <w:tcW w:w="2766" w:type="dxa"/>
            <w:tcBorders>
              <w:top w:val="single" w:sz="4" w:space="0" w:color="000000"/>
              <w:left w:val="single" w:sz="4" w:space="0" w:color="000000"/>
              <w:bottom w:val="single" w:sz="4" w:space="0" w:color="000000"/>
              <w:right w:val="single" w:sz="4" w:space="0" w:color="000000"/>
            </w:tcBorders>
            <w:vAlign w:val="center"/>
            <w:hideMark/>
          </w:tcPr>
          <w:p w14:paraId="1F9A3D60" w14:textId="77777777" w:rsidR="00552273" w:rsidRDefault="00552273">
            <w:pPr>
              <w:spacing w:before="120" w:after="120"/>
              <w:jc w:val="center"/>
              <w:rPr>
                <w:rFonts w:ascii="Arial" w:hAnsi="Arial" w:cs="Arial"/>
                <w:bCs/>
                <w:color w:val="7030A0"/>
                <w:sz w:val="22"/>
                <w:szCs w:val="22"/>
                <w:lang w:val="es-MX"/>
              </w:rPr>
            </w:pPr>
            <w:r>
              <w:rPr>
                <w:rFonts w:ascii="Arial" w:hAnsi="Arial" w:cs="Arial"/>
                <w:b/>
                <w:sz w:val="22"/>
                <w:szCs w:val="22"/>
                <w:lang w:val="es-MX"/>
              </w:rPr>
              <w:t>Emitido:</w:t>
            </w:r>
            <w:r>
              <w:rPr>
                <w:rFonts w:ascii="Arial" w:hAnsi="Arial" w:cs="Arial"/>
                <w:bCs/>
                <w:sz w:val="22"/>
                <w:szCs w:val="22"/>
                <w:lang w:val="es-MX"/>
              </w:rPr>
              <w:t xml:space="preserve"> </w:t>
            </w:r>
            <w:r>
              <w:rPr>
                <w:rFonts w:ascii="Arial" w:hAnsi="Arial" w:cs="Arial"/>
                <w:bCs/>
                <w:color w:val="4472C4" w:themeColor="accent1"/>
                <w:sz w:val="22"/>
                <w:szCs w:val="22"/>
                <w:lang w:val="es-MX"/>
              </w:rPr>
              <w:t>08/08/2022</w:t>
            </w:r>
          </w:p>
        </w:tc>
        <w:tc>
          <w:tcPr>
            <w:tcW w:w="2347" w:type="dxa"/>
            <w:tcBorders>
              <w:top w:val="single" w:sz="4" w:space="0" w:color="000000"/>
              <w:left w:val="single" w:sz="4" w:space="0" w:color="000000"/>
              <w:bottom w:val="single" w:sz="4" w:space="0" w:color="000000"/>
              <w:right w:val="single" w:sz="4" w:space="0" w:color="000000"/>
            </w:tcBorders>
            <w:vAlign w:val="center"/>
            <w:hideMark/>
          </w:tcPr>
          <w:p w14:paraId="7B313EAC" w14:textId="77777777" w:rsidR="00552273" w:rsidRDefault="00552273">
            <w:pPr>
              <w:spacing w:before="120" w:after="120"/>
              <w:jc w:val="center"/>
              <w:rPr>
                <w:rFonts w:ascii="Arial" w:hAnsi="Arial" w:cs="Arial"/>
                <w:bCs/>
                <w:color w:val="7030A0"/>
                <w:sz w:val="22"/>
                <w:szCs w:val="22"/>
                <w:lang w:val="es-MX"/>
              </w:rPr>
            </w:pPr>
            <w:r>
              <w:rPr>
                <w:rFonts w:ascii="Arial" w:hAnsi="Arial" w:cs="Arial"/>
                <w:b/>
                <w:sz w:val="22"/>
                <w:szCs w:val="22"/>
                <w:lang w:val="es-MX"/>
              </w:rPr>
              <w:t>Versión:</w:t>
            </w:r>
            <w:r>
              <w:rPr>
                <w:rFonts w:ascii="Arial" w:hAnsi="Arial" w:cs="Arial"/>
                <w:bCs/>
                <w:sz w:val="22"/>
                <w:szCs w:val="22"/>
                <w:lang w:val="es-MX"/>
              </w:rPr>
              <w:t xml:space="preserve"> </w:t>
            </w:r>
            <w:r>
              <w:rPr>
                <w:rFonts w:ascii="Arial" w:hAnsi="Arial" w:cs="Arial"/>
                <w:bCs/>
                <w:color w:val="4472C4" w:themeColor="accent1"/>
                <w:sz w:val="22"/>
                <w:szCs w:val="22"/>
                <w:lang w:val="es-MX"/>
              </w:rPr>
              <w:t>1</w:t>
            </w:r>
          </w:p>
        </w:tc>
        <w:tc>
          <w:tcPr>
            <w:tcW w:w="2346" w:type="dxa"/>
            <w:tcBorders>
              <w:top w:val="single" w:sz="4" w:space="0" w:color="000000"/>
              <w:left w:val="single" w:sz="4" w:space="0" w:color="000000"/>
              <w:bottom w:val="single" w:sz="4" w:space="0" w:color="000000"/>
              <w:right w:val="single" w:sz="4" w:space="0" w:color="000000"/>
            </w:tcBorders>
            <w:vAlign w:val="center"/>
            <w:hideMark/>
          </w:tcPr>
          <w:p w14:paraId="2B3E5288" w14:textId="7A854BF2" w:rsidR="00552273" w:rsidRDefault="00552273">
            <w:pPr>
              <w:spacing w:before="120" w:after="120"/>
              <w:jc w:val="center"/>
              <w:rPr>
                <w:rFonts w:ascii="Arial" w:hAnsi="Arial" w:cs="Arial"/>
                <w:bCs/>
                <w:color w:val="7030A0"/>
                <w:sz w:val="22"/>
                <w:szCs w:val="22"/>
                <w:lang w:val="es-MX"/>
              </w:rPr>
            </w:pPr>
            <w:r>
              <w:rPr>
                <w:rFonts w:ascii="Arial" w:hAnsi="Arial" w:cs="Arial"/>
                <w:b/>
                <w:sz w:val="22"/>
                <w:szCs w:val="22"/>
                <w:lang w:val="es-MX"/>
              </w:rPr>
              <w:t>Código:</w:t>
            </w:r>
            <w:r>
              <w:rPr>
                <w:rFonts w:ascii="Arial" w:hAnsi="Arial" w:cs="Arial"/>
                <w:bCs/>
                <w:sz w:val="22"/>
                <w:szCs w:val="22"/>
                <w:lang w:val="es-MX"/>
              </w:rPr>
              <w:t xml:space="preserve"> SOP-0</w:t>
            </w:r>
            <w:r w:rsidR="00254009">
              <w:rPr>
                <w:rFonts w:ascii="Arial" w:hAnsi="Arial" w:cs="Arial"/>
                <w:bCs/>
                <w:sz w:val="22"/>
                <w:szCs w:val="22"/>
                <w:lang w:val="es-MX"/>
              </w:rPr>
              <w:t>5</w:t>
            </w:r>
          </w:p>
        </w:tc>
      </w:tr>
    </w:tbl>
    <w:p w14:paraId="0CB021F9" w14:textId="77777777" w:rsidR="00254009" w:rsidRDefault="00254009" w:rsidP="00254009">
      <w:pPr>
        <w:spacing w:after="0" w:line="276" w:lineRule="auto"/>
        <w:ind w:left="360" w:hanging="360"/>
        <w:rPr>
          <w:rFonts w:ascii="Arial" w:hAnsi="Arial" w:cs="Arial"/>
          <w:b/>
          <w:bCs/>
          <w:sz w:val="22"/>
          <w:szCs w:val="22"/>
          <w:lang w:val="es-ES"/>
        </w:rPr>
      </w:pPr>
    </w:p>
    <w:p w14:paraId="5D1DAF81" w14:textId="3F146694" w:rsidR="00254009" w:rsidRPr="00254009" w:rsidRDefault="00254009" w:rsidP="00254009">
      <w:pPr>
        <w:spacing w:after="0" w:line="276" w:lineRule="auto"/>
        <w:ind w:left="360" w:hanging="360"/>
        <w:rPr>
          <w:rFonts w:ascii="Arial" w:hAnsi="Arial" w:cs="Arial"/>
          <w:b/>
          <w:bCs/>
          <w:sz w:val="22"/>
          <w:szCs w:val="22"/>
          <w:lang w:val="es-MX"/>
        </w:rPr>
      </w:pPr>
      <w:r w:rsidRPr="00254009">
        <w:rPr>
          <w:rFonts w:ascii="Arial" w:hAnsi="Arial" w:cs="Arial"/>
          <w:b/>
          <w:bCs/>
          <w:sz w:val="22"/>
          <w:szCs w:val="22"/>
          <w:lang w:val="es-MX"/>
        </w:rPr>
        <w:t>Objetivo</w:t>
      </w:r>
    </w:p>
    <w:p w14:paraId="56E2CD17" w14:textId="5C13F7A4" w:rsidR="00254009" w:rsidRPr="00254009" w:rsidRDefault="00254009" w:rsidP="00254009">
      <w:pPr>
        <w:spacing w:after="0" w:line="276" w:lineRule="auto"/>
        <w:rPr>
          <w:rFonts w:ascii="Arial" w:hAnsi="Arial" w:cs="Arial"/>
          <w:sz w:val="22"/>
          <w:szCs w:val="22"/>
          <w:lang w:val="es-MX"/>
        </w:rPr>
      </w:pPr>
      <w:r w:rsidRPr="00254009">
        <w:rPr>
          <w:rFonts w:ascii="Arial" w:hAnsi="Arial" w:cs="Arial"/>
          <w:sz w:val="22"/>
          <w:szCs w:val="22"/>
          <w:lang w:val="es-MX"/>
        </w:rPr>
        <w:t>Evitar que el agua se convierta en una fuente contaminación para los productos agrícolas frescos.</w:t>
      </w:r>
    </w:p>
    <w:p w14:paraId="55E2D467" w14:textId="77777777" w:rsidR="00254009" w:rsidRPr="00254009" w:rsidRDefault="00254009" w:rsidP="00254009">
      <w:pPr>
        <w:spacing w:after="0" w:line="276" w:lineRule="auto"/>
        <w:ind w:left="360" w:hanging="360"/>
        <w:rPr>
          <w:rFonts w:ascii="Arial" w:hAnsi="Arial" w:cs="Arial"/>
          <w:b/>
          <w:bCs/>
          <w:sz w:val="22"/>
          <w:szCs w:val="22"/>
          <w:lang w:val="es-MX"/>
        </w:rPr>
      </w:pPr>
    </w:p>
    <w:p w14:paraId="79FB6694" w14:textId="77777777" w:rsidR="00254009" w:rsidRPr="00254009" w:rsidRDefault="00254009" w:rsidP="00254009">
      <w:pPr>
        <w:spacing w:after="0" w:line="276" w:lineRule="auto"/>
        <w:ind w:left="360" w:hanging="360"/>
        <w:rPr>
          <w:rFonts w:ascii="Arial" w:hAnsi="Arial" w:cs="Arial"/>
          <w:b/>
          <w:bCs/>
          <w:sz w:val="22"/>
          <w:szCs w:val="22"/>
          <w:lang w:val="es-MX"/>
        </w:rPr>
      </w:pPr>
      <w:r w:rsidRPr="00254009">
        <w:rPr>
          <w:rFonts w:ascii="Arial" w:hAnsi="Arial" w:cs="Arial"/>
          <w:b/>
          <w:bCs/>
          <w:sz w:val="22"/>
          <w:szCs w:val="22"/>
          <w:lang w:val="es-MX"/>
        </w:rPr>
        <w:t>Medidas de control</w:t>
      </w:r>
    </w:p>
    <w:p w14:paraId="2B63BEBD" w14:textId="77777777" w:rsidR="00254009" w:rsidRPr="00254009" w:rsidRDefault="00254009" w:rsidP="00254009">
      <w:pPr>
        <w:spacing w:after="0" w:line="276" w:lineRule="auto"/>
        <w:rPr>
          <w:rFonts w:ascii="Arial" w:hAnsi="Arial"/>
          <w:sz w:val="22"/>
          <w:szCs w:val="22"/>
          <w:lang w:val="es-MX"/>
        </w:rPr>
      </w:pPr>
      <w:r w:rsidRPr="00254009">
        <w:rPr>
          <w:rFonts w:ascii="Arial" w:hAnsi="Arial"/>
          <w:sz w:val="22"/>
          <w:szCs w:val="22"/>
          <w:lang w:val="es-MX"/>
        </w:rPr>
        <w:t xml:space="preserve">Para fines de entendimiento del presente procedimiento se define como </w:t>
      </w:r>
      <w:r w:rsidRPr="00254009">
        <w:rPr>
          <w:rFonts w:ascii="Arial" w:hAnsi="Arial"/>
          <w:b/>
          <w:bCs/>
          <w:sz w:val="22"/>
          <w:szCs w:val="22"/>
          <w:u w:val="single"/>
          <w:lang w:val="es-MX"/>
        </w:rPr>
        <w:t>agua de uso agrícola</w:t>
      </w:r>
      <w:r w:rsidRPr="00254009">
        <w:rPr>
          <w:rFonts w:ascii="Arial" w:hAnsi="Arial"/>
          <w:sz w:val="22"/>
          <w:szCs w:val="22"/>
          <w:lang w:val="es-MX"/>
        </w:rPr>
        <w:t xml:space="preserve"> a toda aquella agua que tiene contacto o es probable que tenga contacto con el </w:t>
      </w:r>
      <w:r w:rsidRPr="00254009">
        <w:rPr>
          <w:rFonts w:ascii="Arial" w:hAnsi="Arial" w:cs="Arial"/>
          <w:sz w:val="22"/>
          <w:szCs w:val="22"/>
          <w:lang w:val="es-MX"/>
        </w:rPr>
        <w:t>producto y/o las superficies de contacto con alimentos. Por ejemplo, agua:</w:t>
      </w:r>
    </w:p>
    <w:p w14:paraId="2C99326D"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Utilizada para riego</w:t>
      </w:r>
    </w:p>
    <w:p w14:paraId="0C304A4E"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De protección contra heladas</w:t>
      </w:r>
    </w:p>
    <w:p w14:paraId="339F497C"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Fertirrigación</w:t>
      </w:r>
    </w:p>
    <w:p w14:paraId="00D2E7E7"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Aplicación de productos químicos</w:t>
      </w:r>
    </w:p>
    <w:p w14:paraId="361731D4"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Fabricación de hielo</w:t>
      </w:r>
    </w:p>
    <w:p w14:paraId="32DF729A"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Saneamiento de equipo y herramientas</w:t>
      </w:r>
    </w:p>
    <w:p w14:paraId="413C420E"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Agua para el lavado de manos</w:t>
      </w:r>
    </w:p>
    <w:p w14:paraId="3FBEF132" w14:textId="77777777" w:rsidR="00254009" w:rsidRPr="00254009" w:rsidRDefault="00254009" w:rsidP="00254009">
      <w:pPr>
        <w:pStyle w:val="ListParagraph"/>
        <w:numPr>
          <w:ilvl w:val="1"/>
          <w:numId w:val="22"/>
        </w:numPr>
        <w:spacing w:after="0" w:line="276" w:lineRule="auto"/>
        <w:contextualSpacing/>
        <w:rPr>
          <w:rFonts w:ascii="Arial" w:hAnsi="Arial"/>
          <w:sz w:val="22"/>
          <w:szCs w:val="22"/>
          <w:lang w:val="es-MX"/>
        </w:rPr>
      </w:pPr>
      <w:r w:rsidRPr="00254009">
        <w:rPr>
          <w:rFonts w:ascii="Arial" w:hAnsi="Arial"/>
          <w:sz w:val="22"/>
          <w:szCs w:val="22"/>
          <w:lang w:val="es-MX"/>
        </w:rPr>
        <w:t>Entre otros</w:t>
      </w:r>
    </w:p>
    <w:p w14:paraId="1B37EA67" w14:textId="77777777" w:rsidR="00254009" w:rsidRPr="00254009" w:rsidRDefault="00254009" w:rsidP="00254009">
      <w:pPr>
        <w:spacing w:after="0" w:line="276" w:lineRule="auto"/>
        <w:rPr>
          <w:rFonts w:ascii="Arial" w:hAnsi="Arial"/>
          <w:sz w:val="22"/>
          <w:szCs w:val="22"/>
          <w:lang w:val="es-MX"/>
        </w:rPr>
      </w:pPr>
      <w:r w:rsidRPr="00254009">
        <w:rPr>
          <w:rFonts w:ascii="Arial" w:hAnsi="Arial"/>
          <w:sz w:val="22"/>
          <w:szCs w:val="22"/>
          <w:lang w:val="es-MX"/>
        </w:rPr>
        <w:t xml:space="preserve">Esta definición aplica tanto al agua que se usa </w:t>
      </w:r>
      <w:r w:rsidRPr="00254009">
        <w:rPr>
          <w:rFonts w:ascii="Arial" w:hAnsi="Arial"/>
          <w:b/>
          <w:bCs/>
          <w:sz w:val="22"/>
          <w:szCs w:val="22"/>
          <w:lang w:val="es-MX"/>
        </w:rPr>
        <w:t>antes</w:t>
      </w:r>
      <w:r w:rsidRPr="00254009">
        <w:rPr>
          <w:rFonts w:ascii="Arial" w:hAnsi="Arial"/>
          <w:sz w:val="22"/>
          <w:szCs w:val="22"/>
          <w:lang w:val="es-MX"/>
        </w:rPr>
        <w:t xml:space="preserve"> de la cosecha (por ejemplo, el agua de riego y aplicaciones) y </w:t>
      </w:r>
      <w:r w:rsidRPr="00254009">
        <w:rPr>
          <w:rFonts w:ascii="Arial" w:hAnsi="Arial"/>
          <w:b/>
          <w:bCs/>
          <w:sz w:val="22"/>
          <w:szCs w:val="22"/>
          <w:lang w:val="es-MX"/>
        </w:rPr>
        <w:t>después</w:t>
      </w:r>
      <w:r w:rsidRPr="00254009">
        <w:rPr>
          <w:rFonts w:ascii="Arial" w:hAnsi="Arial"/>
          <w:sz w:val="22"/>
          <w:szCs w:val="22"/>
          <w:lang w:val="es-MX"/>
        </w:rPr>
        <w:t xml:space="preserve"> de la cosecha. Teniendo en cuenta esta definición, las siguientes son medidas de control que se tienen que seguir en la instalación:</w:t>
      </w:r>
    </w:p>
    <w:p w14:paraId="4B281FB9" w14:textId="77777777" w:rsidR="00254009" w:rsidRPr="00254009" w:rsidRDefault="00254009" w:rsidP="00254009">
      <w:pPr>
        <w:spacing w:after="0" w:line="276" w:lineRule="auto"/>
        <w:rPr>
          <w:rFonts w:ascii="Arial" w:hAnsi="Arial"/>
          <w:sz w:val="22"/>
          <w:szCs w:val="22"/>
          <w:lang w:val="es-MX"/>
        </w:rPr>
      </w:pPr>
    </w:p>
    <w:p w14:paraId="5D55DFC9" w14:textId="77777777" w:rsidR="00254009" w:rsidRPr="00254009" w:rsidRDefault="00254009" w:rsidP="00254009">
      <w:pPr>
        <w:pStyle w:val="ListParagraph"/>
        <w:numPr>
          <w:ilvl w:val="0"/>
          <w:numId w:val="22"/>
        </w:numPr>
        <w:spacing w:after="0" w:line="276" w:lineRule="auto"/>
        <w:contextualSpacing/>
        <w:rPr>
          <w:rFonts w:ascii="Arial" w:hAnsi="Arial"/>
          <w:sz w:val="22"/>
          <w:szCs w:val="22"/>
          <w:lang w:val="es-MX"/>
        </w:rPr>
      </w:pPr>
      <w:r w:rsidRPr="00254009">
        <w:rPr>
          <w:rFonts w:ascii="Arial" w:hAnsi="Arial"/>
          <w:sz w:val="22"/>
          <w:szCs w:val="22"/>
          <w:lang w:val="es-MX"/>
        </w:rPr>
        <w:t>Toda el agua agrícola usada en la instalación se encuentra libre de microorganismos que puedan afectar la salud humana y que repercutan en la inocuidad del producto.</w:t>
      </w:r>
    </w:p>
    <w:p w14:paraId="42770B38" w14:textId="77777777" w:rsidR="00254009" w:rsidRPr="00254009" w:rsidRDefault="00254009" w:rsidP="00254009">
      <w:pPr>
        <w:numPr>
          <w:ilvl w:val="0"/>
          <w:numId w:val="22"/>
        </w:numPr>
        <w:autoSpaceDE w:val="0"/>
        <w:autoSpaceDN w:val="0"/>
        <w:adjustRightInd w:val="0"/>
        <w:spacing w:after="0" w:line="276" w:lineRule="auto"/>
        <w:contextualSpacing/>
        <w:rPr>
          <w:rFonts w:ascii="Arial" w:eastAsia="Arial Unicode MS" w:hAnsi="Arial" w:cs="Arial"/>
          <w:sz w:val="22"/>
          <w:szCs w:val="22"/>
          <w:lang w:val="es-MX"/>
        </w:rPr>
      </w:pPr>
      <w:r w:rsidRPr="00254009">
        <w:rPr>
          <w:rFonts w:ascii="Arial" w:hAnsi="Arial" w:cs="Arial"/>
          <w:sz w:val="22"/>
          <w:szCs w:val="22"/>
          <w:lang w:val="es-MX"/>
        </w:rPr>
        <w:t>Se cuenta con un plano de la localización de las fuentes de agua agrícola, sistema de distribución, almacenamiento y/o depósitos.</w:t>
      </w:r>
    </w:p>
    <w:p w14:paraId="6BF63E14" w14:textId="77777777" w:rsidR="00254009" w:rsidRPr="00254009" w:rsidRDefault="00254009" w:rsidP="00254009">
      <w:pPr>
        <w:numPr>
          <w:ilvl w:val="0"/>
          <w:numId w:val="22"/>
        </w:numPr>
        <w:autoSpaceDE w:val="0"/>
        <w:autoSpaceDN w:val="0"/>
        <w:adjustRightInd w:val="0"/>
        <w:spacing w:after="0" w:line="276" w:lineRule="auto"/>
        <w:contextualSpacing/>
        <w:rPr>
          <w:rFonts w:ascii="Arial" w:eastAsia="Arial Unicode MS" w:hAnsi="Arial" w:cs="Arial"/>
          <w:sz w:val="22"/>
          <w:szCs w:val="22"/>
          <w:lang w:val="es-MX"/>
        </w:rPr>
      </w:pPr>
      <w:r w:rsidRPr="00254009">
        <w:rPr>
          <w:rFonts w:ascii="Arial" w:eastAsiaTheme="minorHAnsi" w:hAnsi="Arial" w:cs="Arial"/>
          <w:iCs/>
          <w:sz w:val="22"/>
          <w:szCs w:val="22"/>
          <w:lang w:val="es-MX"/>
        </w:rPr>
        <w:t>Las fuentes de agua agrícola cuentan con la protección necesaria contra animales, plagas, escurrimientos y sustancias químicas.</w:t>
      </w:r>
    </w:p>
    <w:p w14:paraId="60B88431" w14:textId="77777777" w:rsidR="00254009" w:rsidRPr="00254009" w:rsidRDefault="00254009" w:rsidP="00254009">
      <w:pPr>
        <w:numPr>
          <w:ilvl w:val="0"/>
          <w:numId w:val="22"/>
        </w:numPr>
        <w:tabs>
          <w:tab w:val="left" w:pos="-142"/>
        </w:tabs>
        <w:spacing w:after="0" w:line="276" w:lineRule="auto"/>
        <w:ind w:left="357" w:hanging="357"/>
        <w:contextualSpacing/>
        <w:rPr>
          <w:rFonts w:ascii="Arial" w:hAnsi="Arial" w:cs="Arial"/>
          <w:b/>
          <w:sz w:val="22"/>
          <w:szCs w:val="22"/>
          <w:lang w:val="es-MX"/>
        </w:rPr>
      </w:pPr>
      <w:r w:rsidRPr="00254009">
        <w:rPr>
          <w:rFonts w:ascii="Arial" w:eastAsiaTheme="minorHAnsi" w:hAnsi="Arial" w:cs="Arial"/>
          <w:sz w:val="22"/>
          <w:szCs w:val="22"/>
          <w:lang w:val="es-MX"/>
        </w:rPr>
        <w:t>En la operación se llevan a cabo inspecciones visuales de la fuente de agua y se hacen análisis microbiológicos para verificar que su calidad sanitaria sea la adecuada. La frecuencia de los análisis microbiológicos depende del tipo de fuente de agua:</w:t>
      </w:r>
    </w:p>
    <w:p w14:paraId="21B4409E" w14:textId="77777777" w:rsidR="00254009" w:rsidRPr="00254009" w:rsidRDefault="00254009" w:rsidP="00254009">
      <w:pPr>
        <w:pStyle w:val="ListParagraph"/>
        <w:numPr>
          <w:ilvl w:val="1"/>
          <w:numId w:val="22"/>
        </w:numPr>
        <w:spacing w:after="0" w:line="276" w:lineRule="auto"/>
        <w:contextualSpacing/>
        <w:rPr>
          <w:rFonts w:ascii="Arial" w:eastAsia="Arial Unicode MS" w:hAnsi="Arial" w:cs="Arial"/>
          <w:b/>
          <w:sz w:val="22"/>
          <w:szCs w:val="22"/>
          <w:lang w:val="es-MX"/>
        </w:rPr>
      </w:pPr>
      <w:r w:rsidRPr="00254009">
        <w:rPr>
          <w:rFonts w:ascii="Arial" w:eastAsiaTheme="minorHAnsi" w:hAnsi="Arial" w:cs="Arial"/>
          <w:b/>
          <w:bCs/>
          <w:sz w:val="22"/>
          <w:szCs w:val="22"/>
          <w:lang w:val="es-MX"/>
        </w:rPr>
        <w:t>Agua municipal.</w:t>
      </w:r>
      <w:r w:rsidRPr="00254009">
        <w:rPr>
          <w:rFonts w:ascii="Arial" w:eastAsiaTheme="minorHAnsi" w:hAnsi="Arial" w:cs="Arial"/>
          <w:sz w:val="22"/>
          <w:szCs w:val="22"/>
          <w:lang w:val="es-MX"/>
        </w:rPr>
        <w:t xml:space="preserve"> Los resultados de los análisis se adquieren anualmente de la autoridad de agua local o la operación los analiza </w:t>
      </w:r>
      <w:r w:rsidRPr="00254009">
        <w:rPr>
          <w:rFonts w:ascii="Arial" w:eastAsiaTheme="minorHAnsi" w:hAnsi="Arial" w:cs="Arial"/>
          <w:sz w:val="22"/>
          <w:szCs w:val="22"/>
          <w:u w:val="single"/>
          <w:lang w:val="es-MX"/>
        </w:rPr>
        <w:t>al menos una vez al año</w:t>
      </w:r>
      <w:r w:rsidRPr="00254009">
        <w:rPr>
          <w:rFonts w:ascii="Arial" w:eastAsiaTheme="minorHAnsi" w:hAnsi="Arial" w:cs="Arial"/>
          <w:sz w:val="22"/>
          <w:szCs w:val="22"/>
          <w:lang w:val="es-MX"/>
        </w:rPr>
        <w:t xml:space="preserve">. </w:t>
      </w:r>
    </w:p>
    <w:p w14:paraId="1B1FA7B2" w14:textId="77777777" w:rsidR="00254009" w:rsidRPr="00254009" w:rsidRDefault="00254009" w:rsidP="00254009">
      <w:pPr>
        <w:pStyle w:val="ListParagraph"/>
        <w:numPr>
          <w:ilvl w:val="1"/>
          <w:numId w:val="22"/>
        </w:numPr>
        <w:spacing w:after="0" w:line="276" w:lineRule="auto"/>
        <w:contextualSpacing/>
        <w:rPr>
          <w:rFonts w:ascii="Arial" w:eastAsia="Arial Unicode MS" w:hAnsi="Arial" w:cs="Arial"/>
          <w:b/>
          <w:sz w:val="22"/>
          <w:szCs w:val="22"/>
          <w:lang w:val="es-MX"/>
        </w:rPr>
      </w:pPr>
      <w:r w:rsidRPr="00254009">
        <w:rPr>
          <w:rFonts w:ascii="Arial" w:eastAsiaTheme="minorHAnsi" w:hAnsi="Arial" w:cs="Arial"/>
          <w:sz w:val="22"/>
          <w:szCs w:val="22"/>
          <w:lang w:val="es-MX"/>
        </w:rPr>
        <w:t xml:space="preserve"> </w:t>
      </w:r>
      <w:r w:rsidRPr="00254009">
        <w:rPr>
          <w:rFonts w:ascii="Arial" w:eastAsiaTheme="minorHAnsi" w:hAnsi="Arial" w:cs="Arial"/>
          <w:b/>
          <w:bCs/>
          <w:sz w:val="22"/>
          <w:szCs w:val="22"/>
          <w:lang w:val="es-MX"/>
        </w:rPr>
        <w:t>Agua de pozo.</w:t>
      </w:r>
      <w:r w:rsidRPr="00254009">
        <w:rPr>
          <w:rFonts w:ascii="Arial" w:eastAsiaTheme="minorHAnsi" w:hAnsi="Arial" w:cs="Arial"/>
          <w:sz w:val="22"/>
          <w:szCs w:val="22"/>
          <w:lang w:val="es-MX"/>
        </w:rPr>
        <w:t xml:space="preserve"> El agua se analiza </w:t>
      </w:r>
      <w:r w:rsidRPr="00254009">
        <w:rPr>
          <w:rFonts w:ascii="Arial" w:eastAsiaTheme="minorHAnsi" w:hAnsi="Arial" w:cs="Arial"/>
          <w:sz w:val="22"/>
          <w:szCs w:val="22"/>
          <w:u w:val="single"/>
          <w:lang w:val="es-MX"/>
        </w:rPr>
        <w:t>una vez durante la temporada</w:t>
      </w:r>
      <w:r w:rsidRPr="00254009">
        <w:rPr>
          <w:rFonts w:ascii="Arial" w:eastAsiaTheme="minorHAnsi" w:hAnsi="Arial" w:cs="Arial"/>
          <w:sz w:val="22"/>
          <w:szCs w:val="22"/>
          <w:lang w:val="es-MX"/>
        </w:rPr>
        <w:t xml:space="preserve"> de crecimiento. Si hay coliformes fecales presentes, el pozo se trata con un desinfectante para reducir los niveles de patógenos y se vuelve a analizar. </w:t>
      </w:r>
    </w:p>
    <w:p w14:paraId="28711748" w14:textId="77777777" w:rsidR="00254009" w:rsidRPr="00254009" w:rsidRDefault="00254009" w:rsidP="00254009">
      <w:pPr>
        <w:pStyle w:val="ListParagraph"/>
        <w:numPr>
          <w:ilvl w:val="1"/>
          <w:numId w:val="22"/>
        </w:numPr>
        <w:spacing w:after="0" w:line="276" w:lineRule="auto"/>
        <w:contextualSpacing/>
        <w:rPr>
          <w:rFonts w:ascii="Arial" w:eastAsia="Arial Unicode MS" w:hAnsi="Arial" w:cs="Arial"/>
          <w:bCs/>
          <w:sz w:val="22"/>
          <w:szCs w:val="22"/>
          <w:lang w:val="es-MX"/>
        </w:rPr>
      </w:pPr>
      <w:r w:rsidRPr="00254009">
        <w:rPr>
          <w:rFonts w:ascii="Arial" w:eastAsiaTheme="minorHAnsi" w:hAnsi="Arial" w:cs="Arial"/>
          <w:b/>
          <w:bCs/>
          <w:sz w:val="22"/>
          <w:szCs w:val="22"/>
          <w:lang w:val="es-MX"/>
        </w:rPr>
        <w:t>Agua superficial.</w:t>
      </w:r>
      <w:r w:rsidRPr="00254009">
        <w:rPr>
          <w:rFonts w:ascii="Arial" w:eastAsia="Arial Unicode MS" w:hAnsi="Arial" w:cs="Arial"/>
          <w:b/>
          <w:sz w:val="22"/>
          <w:szCs w:val="22"/>
          <w:lang w:val="es-MX"/>
        </w:rPr>
        <w:t xml:space="preserve"> </w:t>
      </w:r>
      <w:r w:rsidRPr="00254009">
        <w:rPr>
          <w:rFonts w:ascii="Arial" w:eastAsia="Arial Unicode MS" w:hAnsi="Arial" w:cs="Arial"/>
          <w:bCs/>
          <w:sz w:val="22"/>
          <w:szCs w:val="22"/>
          <w:lang w:val="es-MX"/>
        </w:rPr>
        <w:t xml:space="preserve">El agua se analiza </w:t>
      </w:r>
      <w:r w:rsidRPr="00254009">
        <w:rPr>
          <w:rFonts w:ascii="Arial" w:eastAsia="Arial Unicode MS" w:hAnsi="Arial" w:cs="Arial"/>
          <w:bCs/>
          <w:sz w:val="22"/>
          <w:szCs w:val="22"/>
          <w:u w:val="single"/>
          <w:lang w:val="es-MX"/>
        </w:rPr>
        <w:t>3 veces durante la temporada</w:t>
      </w:r>
      <w:r w:rsidRPr="00254009">
        <w:rPr>
          <w:rFonts w:ascii="Arial" w:eastAsia="Arial Unicode MS" w:hAnsi="Arial" w:cs="Arial"/>
          <w:bCs/>
          <w:sz w:val="22"/>
          <w:szCs w:val="22"/>
          <w:lang w:val="es-MX"/>
        </w:rPr>
        <w:t xml:space="preserve"> de crecimiento: la primera durante el cultivo, la segunda en la etapa del cultivo que requiera más consumo de agua y la tercera durante o cercano a la etapa de cosecha. </w:t>
      </w:r>
    </w:p>
    <w:p w14:paraId="1596E0CD" w14:textId="77777777" w:rsidR="00254009" w:rsidRPr="00254009" w:rsidRDefault="00254009" w:rsidP="00254009">
      <w:pPr>
        <w:numPr>
          <w:ilvl w:val="0"/>
          <w:numId w:val="22"/>
        </w:numPr>
        <w:spacing w:after="0" w:line="276" w:lineRule="auto"/>
        <w:contextualSpacing/>
        <w:rPr>
          <w:rFonts w:ascii="Arial" w:hAnsi="Arial" w:cs="Arial"/>
          <w:b/>
          <w:sz w:val="22"/>
          <w:szCs w:val="22"/>
          <w:lang w:val="es-MX"/>
        </w:rPr>
      </w:pPr>
      <w:r w:rsidRPr="00254009">
        <w:rPr>
          <w:rFonts w:ascii="Arial" w:hAnsi="Arial" w:cs="Arial"/>
          <w:sz w:val="22"/>
          <w:szCs w:val="22"/>
          <w:lang w:val="es-MX"/>
        </w:rPr>
        <w:t>Los análisis de agua de uso agrícola son realizados por un laboratorio de terceros, el cual emplea buenas prácticas de laboratorio (BPL) y que utiliza un método adecuado de análisis y toma de muestra.</w:t>
      </w:r>
    </w:p>
    <w:p w14:paraId="583AE26D" w14:textId="77777777" w:rsidR="00254009" w:rsidRPr="00254009" w:rsidRDefault="00254009" w:rsidP="00254009">
      <w:pPr>
        <w:numPr>
          <w:ilvl w:val="0"/>
          <w:numId w:val="22"/>
        </w:numPr>
        <w:spacing w:after="0" w:line="276" w:lineRule="auto"/>
        <w:contextualSpacing/>
        <w:rPr>
          <w:rFonts w:ascii="Arial" w:hAnsi="Arial" w:cs="Arial"/>
          <w:b/>
          <w:sz w:val="22"/>
          <w:szCs w:val="22"/>
          <w:lang w:val="es-MX"/>
        </w:rPr>
      </w:pPr>
      <w:r w:rsidRPr="00254009">
        <w:rPr>
          <w:rFonts w:ascii="Arial" w:eastAsiaTheme="minorHAnsi" w:hAnsi="Arial" w:cs="Arial"/>
          <w:sz w:val="22"/>
          <w:szCs w:val="22"/>
          <w:lang w:val="es-MX"/>
        </w:rPr>
        <w:lastRenderedPageBreak/>
        <w:t>El agua agrícola cumple con los requisitos microbiológicos que requiere</w:t>
      </w:r>
      <w:r w:rsidRPr="00254009">
        <w:rPr>
          <w:rFonts w:ascii="Arial" w:eastAsiaTheme="minorHAnsi" w:hAnsi="Arial" w:cs="Arial"/>
          <w:i/>
          <w:iCs/>
          <w:sz w:val="22"/>
          <w:szCs w:val="22"/>
          <w:lang w:val="es-MX"/>
        </w:rPr>
        <w:t xml:space="preserve"> </w:t>
      </w:r>
      <w:r w:rsidRPr="00254009">
        <w:rPr>
          <w:rFonts w:ascii="Arial" w:eastAsiaTheme="minorHAnsi" w:hAnsi="Arial" w:cs="Arial"/>
          <w:sz w:val="22"/>
          <w:szCs w:val="22"/>
          <w:lang w:val="es-MX"/>
        </w:rPr>
        <w:t>la ley local o nacional correspondiente o los estándares de la industria, según su uso previsto y todos los resultados se registran en la forma resultados de muestras (</w:t>
      </w:r>
      <w:r w:rsidRPr="00254009">
        <w:rPr>
          <w:rFonts w:ascii="Arial" w:hAnsi="Arial" w:cs="Arial"/>
          <w:sz w:val="22"/>
          <w:szCs w:val="22"/>
          <w:lang w:val="es-MX"/>
        </w:rPr>
        <w:t>RECORD-04</w:t>
      </w:r>
      <w:r w:rsidRPr="00254009">
        <w:rPr>
          <w:rFonts w:ascii="Arial" w:hAnsi="Arial" w:cs="Arial"/>
          <w:bCs/>
          <w:sz w:val="22"/>
          <w:szCs w:val="22"/>
          <w:lang w:val="es-MX"/>
        </w:rPr>
        <w:t>).</w:t>
      </w:r>
      <w:r w:rsidRPr="00254009">
        <w:rPr>
          <w:rFonts w:ascii="Arial" w:hAnsi="Arial" w:cs="Arial"/>
          <w:color w:val="00B0F0"/>
          <w:sz w:val="22"/>
          <w:szCs w:val="22"/>
          <w:lang w:val="es-MX"/>
        </w:rPr>
        <w:t xml:space="preserve"> (consultar regulaciones locales y estándares de la industria) </w:t>
      </w:r>
    </w:p>
    <w:p w14:paraId="660D5426" w14:textId="77777777" w:rsidR="00254009" w:rsidRPr="00254009" w:rsidRDefault="00254009" w:rsidP="00254009">
      <w:pPr>
        <w:numPr>
          <w:ilvl w:val="0"/>
          <w:numId w:val="22"/>
        </w:numPr>
        <w:spacing w:after="0" w:line="276" w:lineRule="auto"/>
        <w:contextualSpacing/>
        <w:rPr>
          <w:rFonts w:ascii="Arial" w:hAnsi="Arial" w:cs="Arial"/>
          <w:b/>
          <w:sz w:val="22"/>
          <w:szCs w:val="22"/>
          <w:lang w:val="es-MX"/>
        </w:rPr>
      </w:pPr>
      <w:r w:rsidRPr="00254009">
        <w:rPr>
          <w:rFonts w:ascii="Arial" w:hAnsi="Arial" w:cs="Arial"/>
          <w:b/>
          <w:sz w:val="22"/>
          <w:szCs w:val="22"/>
          <w:lang w:val="es-MX"/>
        </w:rPr>
        <w:t xml:space="preserve"> </w:t>
      </w:r>
      <w:r w:rsidRPr="00254009">
        <w:rPr>
          <w:rFonts w:ascii="Arial" w:hAnsi="Arial" w:cs="Arial"/>
          <w:sz w:val="22"/>
          <w:szCs w:val="22"/>
          <w:lang w:val="es-MX"/>
        </w:rPr>
        <w:t>En caso de que la instalación cuente con un proveedor de agua potable, se le solicitan los análisis de agua que demuestren el cumplimiento.</w:t>
      </w:r>
    </w:p>
    <w:p w14:paraId="28622CDE" w14:textId="203B452E" w:rsidR="00254009" w:rsidRPr="00254009" w:rsidRDefault="00254009" w:rsidP="00254009">
      <w:pPr>
        <w:numPr>
          <w:ilvl w:val="0"/>
          <w:numId w:val="22"/>
        </w:numPr>
        <w:spacing w:after="0" w:line="276" w:lineRule="auto"/>
        <w:contextualSpacing/>
        <w:rPr>
          <w:rFonts w:ascii="Arial" w:hAnsi="Arial" w:cs="Arial"/>
          <w:color w:val="00B0F0"/>
          <w:sz w:val="22"/>
          <w:szCs w:val="22"/>
          <w:lang w:val="es-MX"/>
        </w:rPr>
      </w:pPr>
      <w:r w:rsidRPr="00254009">
        <w:rPr>
          <w:rFonts w:ascii="Arial" w:hAnsi="Arial" w:cs="Arial"/>
          <w:color w:val="00B0F0"/>
          <w:sz w:val="22"/>
          <w:szCs w:val="22"/>
          <w:lang w:val="es-MX"/>
        </w:rPr>
        <w:t xml:space="preserve">La instalación realiza una evaluación de riesgos de la calidad del agua para determinar si la calidad del agua es apropiada para los cultivos en los que se </w:t>
      </w:r>
      <w:r w:rsidRPr="00254009">
        <w:rPr>
          <w:rFonts w:ascii="Arial" w:hAnsi="Arial" w:cs="Arial"/>
          <w:color w:val="00B0F0"/>
          <w:sz w:val="22"/>
          <w:szCs w:val="22"/>
          <w:lang w:val="es-MX"/>
        </w:rPr>
        <w:t>está</w:t>
      </w:r>
      <w:r w:rsidRPr="00254009">
        <w:rPr>
          <w:rFonts w:ascii="Arial" w:hAnsi="Arial" w:cs="Arial"/>
          <w:color w:val="00B0F0"/>
          <w:sz w:val="22"/>
          <w:szCs w:val="22"/>
          <w:lang w:val="es-MX"/>
        </w:rPr>
        <w:t xml:space="preserve"> utilizando (incluyendo usos como el riego, fertiirigación, aplicaciones químicas, etc.). La evaluación de riesgos debe incluir la calidad del agua, el tipo de método de riego/aplicación y el cultivo en contacto con dicha agua. Los resultados de la evaluación de riesgos se deben usar para determinar si es necesario tomar acciones correctivas o el agua que se utiliza es adecuada para su uso previsto.</w:t>
      </w:r>
    </w:p>
    <w:p w14:paraId="59600C2D" w14:textId="77777777" w:rsidR="00254009" w:rsidRPr="00254009" w:rsidRDefault="00254009" w:rsidP="00254009">
      <w:pPr>
        <w:numPr>
          <w:ilvl w:val="0"/>
          <w:numId w:val="22"/>
        </w:numPr>
        <w:spacing w:after="0" w:line="276" w:lineRule="auto"/>
        <w:contextualSpacing/>
        <w:rPr>
          <w:rFonts w:ascii="Arial" w:hAnsi="Arial" w:cs="Arial"/>
          <w:sz w:val="22"/>
          <w:szCs w:val="22"/>
          <w:lang w:val="es-MX"/>
        </w:rPr>
      </w:pPr>
      <w:r w:rsidRPr="00254009">
        <w:rPr>
          <w:rFonts w:ascii="Arial" w:hAnsi="Arial" w:cs="Arial"/>
          <w:sz w:val="22"/>
          <w:szCs w:val="22"/>
          <w:lang w:val="es-MX"/>
        </w:rPr>
        <w:t>En caso de requerirlo, el agua agrícola se somete a un tratamiento para que tenga la calidad sanitaria adecuada para su uso. Esto se documenta en el RECORD-06.</w:t>
      </w:r>
    </w:p>
    <w:p w14:paraId="54BFF7C8" w14:textId="77777777" w:rsidR="00254009" w:rsidRPr="00254009" w:rsidRDefault="00254009" w:rsidP="00254009">
      <w:pPr>
        <w:numPr>
          <w:ilvl w:val="0"/>
          <w:numId w:val="22"/>
        </w:numPr>
        <w:spacing w:after="0" w:line="276" w:lineRule="auto"/>
        <w:contextualSpacing/>
        <w:rPr>
          <w:rFonts w:ascii="Arial" w:hAnsi="Arial" w:cs="Arial"/>
          <w:sz w:val="22"/>
          <w:szCs w:val="22"/>
          <w:lang w:val="es-MX"/>
        </w:rPr>
      </w:pPr>
      <w:r w:rsidRPr="00254009">
        <w:rPr>
          <w:rFonts w:ascii="Arial" w:hAnsi="Arial" w:cs="Arial"/>
          <w:sz w:val="22"/>
          <w:szCs w:val="22"/>
          <w:lang w:val="es-MX"/>
        </w:rPr>
        <w:t xml:space="preserve">Los equipos diseñados para tratar el agua (como los inyectores de cloro, los sistemas de filtración y los dispositivos de reflujo) se inspeccionan y mantienen para garantizar un funcionamiento eficiente. </w:t>
      </w:r>
    </w:p>
    <w:p w14:paraId="6391A0E6" w14:textId="77777777" w:rsidR="00254009" w:rsidRPr="00254009" w:rsidRDefault="00254009" w:rsidP="00254009">
      <w:pPr>
        <w:numPr>
          <w:ilvl w:val="0"/>
          <w:numId w:val="22"/>
        </w:numPr>
        <w:spacing w:after="0" w:line="276" w:lineRule="auto"/>
        <w:contextualSpacing/>
        <w:rPr>
          <w:rFonts w:ascii="Arial" w:hAnsi="Arial" w:cs="Arial"/>
          <w:sz w:val="22"/>
          <w:szCs w:val="22"/>
          <w:lang w:val="es-MX"/>
        </w:rPr>
      </w:pPr>
      <w:r w:rsidRPr="00254009">
        <w:rPr>
          <w:rFonts w:ascii="Arial" w:eastAsiaTheme="minorHAnsi" w:hAnsi="Arial" w:cs="Arial"/>
          <w:sz w:val="22"/>
          <w:szCs w:val="22"/>
          <w:lang w:val="es-MX"/>
        </w:rPr>
        <w:t xml:space="preserve">Las fuentes y los sistemas de suministro de agua (incluyendo tanques de almacenamiento, tuberías, bombas, etc.) se evalúan una vez al año, al inicio de la temporada o cuando se considera necesario y reciben mantenimiento de tal forma que no se conviertan en una fuente de contaminación para el producto, las fuentes de agua o los equipos y para que no creen condiciones antihigiénicas. </w:t>
      </w:r>
    </w:p>
    <w:p w14:paraId="64D69150" w14:textId="77777777" w:rsidR="00254009" w:rsidRPr="00254009" w:rsidRDefault="00254009" w:rsidP="00254009">
      <w:pPr>
        <w:numPr>
          <w:ilvl w:val="0"/>
          <w:numId w:val="22"/>
        </w:numPr>
        <w:spacing w:after="0" w:line="276" w:lineRule="auto"/>
        <w:contextualSpacing/>
        <w:rPr>
          <w:rFonts w:ascii="Arial" w:hAnsi="Arial" w:cs="Arial"/>
          <w:sz w:val="22"/>
          <w:szCs w:val="22"/>
          <w:lang w:val="es-MX"/>
        </w:rPr>
      </w:pPr>
      <w:r w:rsidRPr="00254009">
        <w:rPr>
          <w:rFonts w:ascii="Arial" w:hAnsi="Arial" w:cs="Arial"/>
          <w:sz w:val="22"/>
          <w:szCs w:val="22"/>
          <w:lang w:val="es-MX"/>
        </w:rPr>
        <w:t>Si se detecta que la fuente de agua o cualquier otro punto de la distribución de agua no cumple con los estándares microbiológicos, se suspende su uso. Se aplican acciones correctivas pertinentes hasta demostrar que el agua es apta para usarse</w:t>
      </w:r>
      <w:r w:rsidRPr="00254009">
        <w:rPr>
          <w:rFonts w:ascii="Arial" w:eastAsiaTheme="minorHAnsi" w:hAnsi="Arial" w:cs="Arial"/>
          <w:sz w:val="22"/>
          <w:szCs w:val="22"/>
          <w:lang w:val="es-MX"/>
        </w:rPr>
        <w:t>. (RECORD-02).</w:t>
      </w:r>
    </w:p>
    <w:p w14:paraId="16918A46" w14:textId="77777777" w:rsidR="00254009" w:rsidRPr="00254009" w:rsidRDefault="00254009" w:rsidP="00254009">
      <w:pPr>
        <w:numPr>
          <w:ilvl w:val="0"/>
          <w:numId w:val="22"/>
        </w:numPr>
        <w:spacing w:after="0" w:line="276" w:lineRule="auto"/>
        <w:contextualSpacing/>
        <w:rPr>
          <w:rFonts w:ascii="Arial" w:hAnsi="Arial" w:cs="Arial"/>
          <w:color w:val="4472C4" w:themeColor="accent1"/>
          <w:sz w:val="22"/>
          <w:szCs w:val="22"/>
          <w:lang w:val="es-MX"/>
        </w:rPr>
      </w:pPr>
      <w:r w:rsidRPr="00254009">
        <w:rPr>
          <w:rFonts w:ascii="Arial" w:hAnsi="Arial" w:cs="Arial"/>
          <w:sz w:val="22"/>
          <w:szCs w:val="22"/>
          <w:lang w:val="es-MX"/>
        </w:rPr>
        <w:t>Se cuenta con dispensadores de agua potable en garrafones para los trabajadores.</w:t>
      </w:r>
    </w:p>
    <w:p w14:paraId="68725B98" w14:textId="77777777" w:rsidR="00254009" w:rsidRPr="00254009" w:rsidRDefault="00254009" w:rsidP="00254009">
      <w:pPr>
        <w:numPr>
          <w:ilvl w:val="0"/>
          <w:numId w:val="22"/>
        </w:numPr>
        <w:spacing w:after="0" w:line="276" w:lineRule="auto"/>
        <w:contextualSpacing/>
        <w:rPr>
          <w:rFonts w:ascii="Arial" w:hAnsi="Arial" w:cs="Arial"/>
          <w:color w:val="00B0F0"/>
          <w:sz w:val="22"/>
          <w:szCs w:val="22"/>
          <w:lang w:val="es-MX"/>
        </w:rPr>
      </w:pPr>
      <w:r w:rsidRPr="00254009">
        <w:rPr>
          <w:rFonts w:ascii="Arial" w:eastAsiaTheme="minorHAnsi" w:hAnsi="Arial" w:cs="Arial"/>
          <w:color w:val="00B0F0"/>
          <w:sz w:val="22"/>
          <w:szCs w:val="22"/>
          <w:lang w:val="es-MX"/>
        </w:rPr>
        <w:t xml:space="preserve">Toda el agua agrícola utilizada en aplicaciones </w:t>
      </w:r>
      <w:r w:rsidRPr="00254009">
        <w:rPr>
          <w:rFonts w:ascii="Arial" w:eastAsiaTheme="minorHAnsi" w:hAnsi="Arial" w:cs="Arial"/>
          <w:b/>
          <w:bCs/>
          <w:color w:val="00B0F0"/>
          <w:sz w:val="22"/>
          <w:szCs w:val="22"/>
          <w:lang w:val="es-MX"/>
        </w:rPr>
        <w:t>después</w:t>
      </w:r>
      <w:r w:rsidRPr="00254009">
        <w:rPr>
          <w:rFonts w:ascii="Arial" w:eastAsiaTheme="minorHAnsi" w:hAnsi="Arial" w:cs="Arial"/>
          <w:color w:val="00B0F0"/>
          <w:sz w:val="22"/>
          <w:szCs w:val="22"/>
          <w:lang w:val="es-MX"/>
        </w:rPr>
        <w:t xml:space="preserve"> de la cosecha (postcosecha) cumple con los requisitos microbiológicos del estándar de agua potable para beber de la EPA de EE. UU. (</w:t>
      </w:r>
      <w:r w:rsidRPr="00254009">
        <w:rPr>
          <w:rFonts w:ascii="Arial" w:eastAsiaTheme="minorHAnsi" w:hAnsi="Arial" w:cs="Arial"/>
          <w:i/>
          <w:iCs/>
          <w:color w:val="00B0F0"/>
          <w:sz w:val="22"/>
          <w:szCs w:val="22"/>
          <w:lang w:val="es-MX"/>
        </w:rPr>
        <w:t>US EPA Drinking Water Standard</w:t>
      </w:r>
      <w:r w:rsidRPr="00254009">
        <w:rPr>
          <w:rFonts w:ascii="Arial" w:eastAsiaTheme="minorHAnsi" w:hAnsi="Arial" w:cs="Arial"/>
          <w:color w:val="00B0F0"/>
          <w:sz w:val="22"/>
          <w:szCs w:val="22"/>
          <w:lang w:val="es-MX"/>
        </w:rPr>
        <w:t>). Por ejemplo, el agua usada para:</w:t>
      </w:r>
    </w:p>
    <w:p w14:paraId="0630D0F5"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eastAsiaTheme="minorHAnsi" w:hAnsi="Arial" w:cs="Arial"/>
          <w:color w:val="00B0F0"/>
          <w:sz w:val="22"/>
          <w:szCs w:val="22"/>
          <w:lang w:val="es-MX"/>
        </w:rPr>
        <w:t>Hielo</w:t>
      </w:r>
    </w:p>
    <w:p w14:paraId="19CCE85A"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eastAsiaTheme="minorHAnsi" w:hAnsi="Arial" w:cs="Arial"/>
          <w:color w:val="00B0F0"/>
          <w:sz w:val="22"/>
          <w:szCs w:val="22"/>
          <w:lang w:val="es-MX"/>
        </w:rPr>
        <w:t>Control de humedad</w:t>
      </w:r>
    </w:p>
    <w:p w14:paraId="64FA71A6"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eastAsiaTheme="minorHAnsi" w:hAnsi="Arial" w:cs="Arial"/>
          <w:color w:val="00B0F0"/>
          <w:sz w:val="22"/>
          <w:szCs w:val="22"/>
          <w:lang w:val="es-MX"/>
        </w:rPr>
        <w:t>Aplicaciones postcosecha, por ejemplo, para mezcla con fungicidas.</w:t>
      </w:r>
    </w:p>
    <w:p w14:paraId="76E6ECE8"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hAnsi="Arial" w:cs="Arial"/>
          <w:color w:val="00B0F0"/>
          <w:sz w:val="22"/>
          <w:szCs w:val="22"/>
          <w:lang w:val="es-MX"/>
        </w:rPr>
        <w:t>Tanques o tinas de lavado</w:t>
      </w:r>
    </w:p>
    <w:p w14:paraId="141B66F0"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hAnsi="Arial" w:cs="Arial"/>
          <w:color w:val="00B0F0"/>
          <w:sz w:val="22"/>
          <w:szCs w:val="22"/>
          <w:lang w:val="es-MX"/>
        </w:rPr>
        <w:t>Hidroenfriado</w:t>
      </w:r>
    </w:p>
    <w:p w14:paraId="7A48B2F7"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hAnsi="Arial" w:cs="Arial"/>
          <w:color w:val="00B0F0"/>
          <w:sz w:val="22"/>
          <w:szCs w:val="22"/>
          <w:lang w:val="es-MX"/>
        </w:rPr>
        <w:t>Canales de transporte</w:t>
      </w:r>
    </w:p>
    <w:p w14:paraId="5206AD42" w14:textId="77777777" w:rsidR="00254009" w:rsidRPr="00254009" w:rsidRDefault="00254009" w:rsidP="00254009">
      <w:pPr>
        <w:numPr>
          <w:ilvl w:val="1"/>
          <w:numId w:val="22"/>
        </w:numPr>
        <w:spacing w:after="0" w:line="276" w:lineRule="auto"/>
        <w:contextualSpacing/>
        <w:rPr>
          <w:rFonts w:ascii="Arial" w:hAnsi="Arial" w:cs="Arial"/>
          <w:color w:val="00B0F0"/>
          <w:sz w:val="22"/>
          <w:szCs w:val="22"/>
          <w:lang w:val="es-MX"/>
        </w:rPr>
      </w:pPr>
      <w:r w:rsidRPr="00254009">
        <w:rPr>
          <w:rFonts w:ascii="Arial" w:hAnsi="Arial" w:cs="Arial"/>
          <w:color w:val="00B0F0"/>
          <w:sz w:val="22"/>
          <w:szCs w:val="22"/>
          <w:lang w:val="es-MX"/>
        </w:rPr>
        <w:t>Entre otros</w:t>
      </w:r>
    </w:p>
    <w:p w14:paraId="65319CCF" w14:textId="77777777" w:rsidR="00254009" w:rsidRPr="00254009" w:rsidRDefault="00254009" w:rsidP="00254009">
      <w:pPr>
        <w:numPr>
          <w:ilvl w:val="0"/>
          <w:numId w:val="22"/>
        </w:numPr>
        <w:spacing w:after="0" w:line="276" w:lineRule="auto"/>
        <w:contextualSpacing/>
        <w:rPr>
          <w:rFonts w:ascii="Arial" w:hAnsi="Arial" w:cs="Arial"/>
          <w:color w:val="00B0F0"/>
          <w:sz w:val="22"/>
          <w:szCs w:val="22"/>
          <w:lang w:val="es-MX"/>
        </w:rPr>
      </w:pPr>
      <w:r w:rsidRPr="00254009">
        <w:rPr>
          <w:rFonts w:ascii="Arial" w:eastAsiaTheme="minorHAnsi" w:hAnsi="Arial" w:cs="Arial"/>
          <w:color w:val="00B0F0"/>
          <w:sz w:val="22"/>
          <w:szCs w:val="22"/>
          <w:lang w:val="es-MX"/>
        </w:rPr>
        <w:t>Si en la operación se trabaja con productos que se sabe son susceptibles a la infiltración, se monitorea la temperatura del producto y del agua de procesamiento utilizada en los tanques de lavado, canales, etc. (RECORD-05).</w:t>
      </w:r>
    </w:p>
    <w:p w14:paraId="48054897" w14:textId="2E2AADF6" w:rsidR="00254009" w:rsidRPr="00254009" w:rsidRDefault="00254009">
      <w:pPr>
        <w:spacing w:after="0" w:line="276" w:lineRule="auto"/>
        <w:rPr>
          <w:rFonts w:ascii="Arial" w:hAnsi="Arial" w:cs="Arial"/>
          <w:bCs/>
          <w:lang w:val="es-MX"/>
        </w:rPr>
      </w:pPr>
      <w:r w:rsidRPr="00254009">
        <w:rPr>
          <w:rFonts w:ascii="Arial" w:eastAsiaTheme="minorHAnsi" w:hAnsi="Arial" w:cs="Arial"/>
          <w:color w:val="00B0F0"/>
          <w:sz w:val="22"/>
          <w:szCs w:val="22"/>
          <w:lang w:val="es-MX"/>
        </w:rPr>
        <w:t>El hielo utilizado para enfriar el producto se fabrica, transporta y almacena en condiciones higiénicas. Se usa el registro de manejo y almacenamiento de hielo (RECORD-07) para documentarlo.</w:t>
      </w:r>
    </w:p>
    <w:sectPr w:rsidR="00254009" w:rsidRPr="00254009" w:rsidSect="00341A33">
      <w:footerReference w:type="even" r:id="rId8"/>
      <w:footerReference w:type="default" r:id="rId9"/>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0B4E0" w14:textId="77777777" w:rsidR="008C33AD" w:rsidRDefault="008C33AD">
      <w:r>
        <w:separator/>
      </w:r>
    </w:p>
  </w:endnote>
  <w:endnote w:type="continuationSeparator" w:id="0">
    <w:p w14:paraId="274EA51D" w14:textId="77777777" w:rsidR="008C33AD" w:rsidRDefault="008C3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1A0D7BEA"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254009">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EDEF0" w14:textId="77777777" w:rsidR="008C33AD" w:rsidRDefault="008C33AD">
      <w:r>
        <w:separator/>
      </w:r>
    </w:p>
  </w:footnote>
  <w:footnote w:type="continuationSeparator" w:id="0">
    <w:p w14:paraId="3BE20ED0" w14:textId="77777777" w:rsidR="008C33AD" w:rsidRDefault="008C3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1"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5"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9"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2"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3" w15:restartNumberingAfterBreak="0">
    <w:nsid w:val="5FC559A6"/>
    <w:multiLevelType w:val="hybridMultilevel"/>
    <w:tmpl w:val="0B0E7996"/>
    <w:lvl w:ilvl="0" w:tplc="D92A9D3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18"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0"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5"/>
  </w:num>
  <w:num w:numId="2" w16cid:durableId="1678771448">
    <w:abstractNumId w:val="2"/>
  </w:num>
  <w:num w:numId="3" w16cid:durableId="1337608455">
    <w:abstractNumId w:val="16"/>
  </w:num>
  <w:num w:numId="4" w16cid:durableId="1316760050">
    <w:abstractNumId w:val="9"/>
  </w:num>
  <w:num w:numId="5" w16cid:durableId="1839693548">
    <w:abstractNumId w:val="20"/>
  </w:num>
  <w:num w:numId="6" w16cid:durableId="497842168">
    <w:abstractNumId w:val="17"/>
  </w:num>
  <w:num w:numId="7" w16cid:durableId="623343460">
    <w:abstractNumId w:val="18"/>
  </w:num>
  <w:num w:numId="8" w16cid:durableId="229272314">
    <w:abstractNumId w:val="3"/>
  </w:num>
  <w:num w:numId="9" w16cid:durableId="1295528682">
    <w:abstractNumId w:val="6"/>
  </w:num>
  <w:num w:numId="10" w16cid:durableId="1938245951">
    <w:abstractNumId w:val="14"/>
  </w:num>
  <w:num w:numId="11" w16cid:durableId="1148207804">
    <w:abstractNumId w:val="21"/>
  </w:num>
  <w:num w:numId="12" w16cid:durableId="2001225663">
    <w:abstractNumId w:val="15"/>
  </w:num>
  <w:num w:numId="13" w16cid:durableId="1803501958">
    <w:abstractNumId w:val="4"/>
  </w:num>
  <w:num w:numId="14" w16cid:durableId="2586743">
    <w:abstractNumId w:val="11"/>
  </w:num>
  <w:num w:numId="15" w16cid:durableId="1023435985">
    <w:abstractNumId w:val="8"/>
  </w:num>
  <w:num w:numId="16" w16cid:durableId="1677228810">
    <w:abstractNumId w:val="12"/>
  </w:num>
  <w:num w:numId="17" w16cid:durableId="2003312100">
    <w:abstractNumId w:val="1"/>
  </w:num>
  <w:num w:numId="18" w16cid:durableId="2102677506">
    <w:abstractNumId w:val="0"/>
  </w:num>
  <w:num w:numId="19" w16cid:durableId="761797730">
    <w:abstractNumId w:val="19"/>
  </w:num>
  <w:num w:numId="20" w16cid:durableId="595746600">
    <w:abstractNumId w:val="7"/>
  </w:num>
  <w:num w:numId="21" w16cid:durableId="1328095547">
    <w:abstractNumId w:val="10"/>
  </w:num>
  <w:num w:numId="22" w16cid:durableId="199933552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30E"/>
    <w:rsid w:val="001B720C"/>
    <w:rsid w:val="001B746B"/>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4009"/>
    <w:rsid w:val="00255EF2"/>
    <w:rsid w:val="0025688F"/>
    <w:rsid w:val="0026321A"/>
    <w:rsid w:val="00263B06"/>
    <w:rsid w:val="00264CB2"/>
    <w:rsid w:val="00267840"/>
    <w:rsid w:val="00270550"/>
    <w:rsid w:val="00272D95"/>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41A33"/>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31D3"/>
    <w:rsid w:val="003F4A81"/>
    <w:rsid w:val="003F5AB7"/>
    <w:rsid w:val="003F67FD"/>
    <w:rsid w:val="00400031"/>
    <w:rsid w:val="00403ED1"/>
    <w:rsid w:val="004100D8"/>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4CBE"/>
    <w:rsid w:val="00476377"/>
    <w:rsid w:val="004772AE"/>
    <w:rsid w:val="00481608"/>
    <w:rsid w:val="00482E8D"/>
    <w:rsid w:val="00484518"/>
    <w:rsid w:val="00485AEE"/>
    <w:rsid w:val="0049173A"/>
    <w:rsid w:val="00492589"/>
    <w:rsid w:val="00495829"/>
    <w:rsid w:val="004967CE"/>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7CF2"/>
    <w:rsid w:val="0050000D"/>
    <w:rsid w:val="00500DF6"/>
    <w:rsid w:val="005023DE"/>
    <w:rsid w:val="005045FA"/>
    <w:rsid w:val="005138AE"/>
    <w:rsid w:val="00517377"/>
    <w:rsid w:val="00522224"/>
    <w:rsid w:val="00523BEB"/>
    <w:rsid w:val="00525E0C"/>
    <w:rsid w:val="005413F2"/>
    <w:rsid w:val="00545238"/>
    <w:rsid w:val="00552273"/>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BBD"/>
    <w:rsid w:val="00617C64"/>
    <w:rsid w:val="00617CB7"/>
    <w:rsid w:val="00620150"/>
    <w:rsid w:val="00622182"/>
    <w:rsid w:val="00622885"/>
    <w:rsid w:val="0062317C"/>
    <w:rsid w:val="00624C32"/>
    <w:rsid w:val="00645801"/>
    <w:rsid w:val="00645EED"/>
    <w:rsid w:val="00645F49"/>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B77B3"/>
    <w:rsid w:val="007C17EA"/>
    <w:rsid w:val="007C2074"/>
    <w:rsid w:val="007C228B"/>
    <w:rsid w:val="007C4BFA"/>
    <w:rsid w:val="007C5FFC"/>
    <w:rsid w:val="007C6A75"/>
    <w:rsid w:val="007C7830"/>
    <w:rsid w:val="007D6E8E"/>
    <w:rsid w:val="007E0FE1"/>
    <w:rsid w:val="007E362C"/>
    <w:rsid w:val="007E4829"/>
    <w:rsid w:val="007E508C"/>
    <w:rsid w:val="007E60BF"/>
    <w:rsid w:val="007F2FB9"/>
    <w:rsid w:val="007F37C3"/>
    <w:rsid w:val="007F68EB"/>
    <w:rsid w:val="007F6B40"/>
    <w:rsid w:val="00800DEE"/>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7F3"/>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33AD"/>
    <w:rsid w:val="008C40E3"/>
    <w:rsid w:val="008C74C3"/>
    <w:rsid w:val="008D113D"/>
    <w:rsid w:val="008D1BD9"/>
    <w:rsid w:val="008E2A55"/>
    <w:rsid w:val="008E6D66"/>
    <w:rsid w:val="008F1731"/>
    <w:rsid w:val="008F1AAC"/>
    <w:rsid w:val="008F1EDC"/>
    <w:rsid w:val="008F38E8"/>
    <w:rsid w:val="008F681C"/>
    <w:rsid w:val="009023A0"/>
    <w:rsid w:val="00902C85"/>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30D2"/>
    <w:rsid w:val="009D39F2"/>
    <w:rsid w:val="009D6F82"/>
    <w:rsid w:val="009E06F4"/>
    <w:rsid w:val="009E0B00"/>
    <w:rsid w:val="009E0FC6"/>
    <w:rsid w:val="009F3B21"/>
    <w:rsid w:val="009F5203"/>
    <w:rsid w:val="00A00098"/>
    <w:rsid w:val="00A0408E"/>
    <w:rsid w:val="00A0521B"/>
    <w:rsid w:val="00A06D14"/>
    <w:rsid w:val="00A12FCA"/>
    <w:rsid w:val="00A13250"/>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DC3"/>
    <w:rsid w:val="00B61478"/>
    <w:rsid w:val="00B62C7B"/>
    <w:rsid w:val="00B63BF5"/>
    <w:rsid w:val="00B643B4"/>
    <w:rsid w:val="00B66891"/>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491A"/>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146305">
      <w:bodyDiv w:val="1"/>
      <w:marLeft w:val="0"/>
      <w:marRight w:val="0"/>
      <w:marTop w:val="0"/>
      <w:marBottom w:val="0"/>
      <w:divBdr>
        <w:top w:val="none" w:sz="0" w:space="0" w:color="auto"/>
        <w:left w:val="none" w:sz="0" w:space="0" w:color="auto"/>
        <w:bottom w:val="none" w:sz="0" w:space="0" w:color="auto"/>
        <w:right w:val="none" w:sz="0" w:space="0" w:color="auto"/>
      </w:divBdr>
    </w:div>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827</Words>
  <Characters>4549</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5366</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6</cp:revision>
  <cp:lastPrinted>2009-09-03T15:26:00Z</cp:lastPrinted>
  <dcterms:created xsi:type="dcterms:W3CDTF">2022-08-31T17:31:00Z</dcterms:created>
  <dcterms:modified xsi:type="dcterms:W3CDTF">2022-09-01T19:16:00Z</dcterms:modified>
</cp:coreProperties>
</file>